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экономического развития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</w:t>
      </w:r>
      <w:r>
        <w:rPr>
          <w:rFonts w:ascii="Times New Roman" w:hAnsi="Times New Roman"/>
          <w:sz w:val="26"/>
          <w:szCs w:val="26"/>
        </w:rPr>
        <w:t xml:space="preserve">о начале обсуждения проекта постановления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  <w:br/>
      </w:r>
      <w:r>
        <w:rPr>
          <w:rFonts w:ascii="Times New Roman" w:hAnsi="Times New Roman"/>
          <w:sz w:val="26"/>
          <w:szCs w:val="26"/>
        </w:rPr>
        <w:t xml:space="preserve">«О</w:t>
      </w:r>
      <w:r>
        <w:rPr>
          <w:rFonts w:ascii="Times New Roman" w:hAnsi="Times New Roman"/>
          <w:sz w:val="26"/>
          <w:szCs w:val="26"/>
        </w:rPr>
        <w:t xml:space="preserve"> внесении изменений в Порядок предоставления грантов в форме субсидий </w:t>
        <w:br/>
        <w:t xml:space="preserve">из республиканского бюджета Республики Хакасия в целях поддержки проектов, направленных на развитие туризма в Республике Хакасия, утвержденный постановлением Правительства Республики Ха</w:t>
      </w:r>
      <w:r>
        <w:rPr>
          <w:rFonts w:ascii="Times New Roman" w:hAnsi="Times New Roman"/>
          <w:sz w:val="26"/>
          <w:szCs w:val="26"/>
        </w:rPr>
        <w:t xml:space="preserve">касия от 21.07.2020 № 388» (далее – проект постановления) </w:t>
      </w:r>
      <w:r>
        <w:rPr>
          <w:rFonts w:ascii="Times New Roman" w:hAnsi="Times New Roman"/>
          <w:bCs/>
          <w:sz w:val="26"/>
          <w:szCs w:val="26"/>
        </w:rPr>
        <w:t xml:space="preserve">и сборе предложений заинтересованных лиц.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t xml:space="preserve">me58@r-19.ru</w:t>
      </w:r>
      <w:r>
        <w:rPr>
          <w:rFonts w:ascii="Times New Roman" w:hAnsi="Times New Roman"/>
          <w:sz w:val="26"/>
          <w:szCs w:val="26"/>
        </w:rPr>
        <w:t xml:space="preserve"> </w:t>
        <w:br/>
        <w:t xml:space="preserve">в виде прикрепленного файла, заполненного по прилагаемой форме </w:t>
        <w:br/>
        <w:t xml:space="preserve">или на почтовый адрес: 655017, Россия, Республика Хакасия, г. Абакан, </w:t>
        <w:br/>
        <w:t xml:space="preserve">ул. Советская, д. 45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tabs>
          <w:tab w:val="right" w:pos="9923" w:leader="none"/>
        </w:tabs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c 19.01.2026 по 23.01.2026.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tabs>
          <w:tab w:val="right" w:pos="9923" w:leader="none"/>
        </w:tabs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  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Железнякова Василиса Алексеевна, тел. (3902)248-200, доб. 265,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me58@r-19.ru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eastAsiaTheme="minorHAnsi"/>
          <w:sz w:val="26"/>
          <w:szCs w:val="26"/>
          <w:lang w:eastAsia="en-US"/>
        </w:rPr>
      </w:r>
      <w:r>
        <w:rPr>
          <w:rFonts w:ascii="Times New Roman" w:hAnsi="Times New Roman" w:eastAsiaTheme="minorHAnsi"/>
          <w:sz w:val="26"/>
          <w:szCs w:val="26"/>
          <w:lang w:eastAsia="en-US"/>
        </w:rPr>
      </w:r>
      <w:r>
        <w:rPr>
          <w:rFonts w:ascii="Times New Roman" w:hAnsi="Times New Roman" w:eastAsiaTheme="minorHAnsi"/>
          <w:sz w:val="26"/>
          <w:szCs w:val="26"/>
          <w:lang w:eastAsia="en-US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me58@r-19.ru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23.01.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202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6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э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кономического развития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 xml:space="preserve"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Является ли предлагаемое регулирование оптимальным способом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Ваше общее мнение по предлагаемому регулированию"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40"/>
        <w:jc w:val="both"/>
        <w:spacing w:before="220" w:after="1" w:line="220" w:lineRule="atLeas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6) Е</w:t>
      </w:r>
      <w:r>
        <w:rPr>
          <w:rFonts w:ascii="Times New Roman" w:hAnsi="Times New Roman"/>
          <w:sz w:val="26"/>
          <w:szCs w:val="26"/>
          <w:lang w:eastAsia="en-US"/>
        </w:rPr>
        <w:t xml:space="preserve"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834"/>
      </w:tblGrid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r/>
      <w:r/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List Paragraph"/>
    <w:basedOn w:val="832"/>
    <w:qFormat/>
    <w:pPr>
      <w:contextualSpacing/>
      <w:ind w:left="720"/>
    </w:pPr>
  </w:style>
  <w:style w:type="paragraph" w:styleId="837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8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2022-03-28T02:57:00Z</dcterms:created>
  <dcterms:modified xsi:type="dcterms:W3CDTF">2026-01-16T03:44:36Z</dcterms:modified>
</cp:coreProperties>
</file>